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788" w:rsidRPr="005E788C" w:rsidRDefault="00C00788" w:rsidP="005E788C">
      <w:pPr>
        <w:pStyle w:val="03SubHeading"/>
        <w:rPr>
          <w:color w:val="0065C1"/>
        </w:rPr>
      </w:pPr>
      <w:r w:rsidRPr="005E788C">
        <w:rPr>
          <w:color w:val="0065C1"/>
        </w:rPr>
        <w:t>“Shared Success”</w:t>
      </w:r>
    </w:p>
    <w:p w:rsidR="00C00788" w:rsidRPr="00C00788" w:rsidRDefault="00C00788" w:rsidP="005E788C">
      <w:pPr>
        <w:pStyle w:val="03SubHeading"/>
        <w:spacing w:after="280"/>
      </w:pPr>
      <w:r w:rsidRPr="00C00788">
        <w:t>A Key Employee Bonus Plan</w:t>
      </w:r>
    </w:p>
    <w:p w:rsidR="00C00788" w:rsidRPr="00C00788" w:rsidRDefault="00C00788" w:rsidP="005E788C">
      <w:pPr>
        <w:pStyle w:val="01BodyCopy"/>
        <w:spacing w:after="160"/>
      </w:pPr>
      <w:r w:rsidRPr="005E788C">
        <w:rPr>
          <w:b/>
          <w:color w:val="0065C1"/>
        </w:rPr>
        <w:t>“Shared Success”</w:t>
      </w:r>
      <w:r w:rsidRPr="005E788C">
        <w:rPr>
          <w:color w:val="0065C1"/>
        </w:rPr>
        <w:t xml:space="preserve"> </w:t>
      </w:r>
      <w:r w:rsidRPr="00C00788">
        <w:t xml:space="preserve">simply means sharing some of the extra profits made from a company with those who actually created the performance or incremental profits for the company.  </w:t>
      </w:r>
    </w:p>
    <w:p w:rsidR="00C00788" w:rsidRPr="00C00788" w:rsidRDefault="00C00788" w:rsidP="005E788C">
      <w:pPr>
        <w:pStyle w:val="01BodyCopy"/>
        <w:spacing w:after="160"/>
      </w:pPr>
      <w:r w:rsidRPr="00C00788">
        <w:t xml:space="preserve">This program is based upon the team first, individual second philosophy.  </w:t>
      </w:r>
    </w:p>
    <w:p w:rsidR="00C00788" w:rsidRPr="00C00788" w:rsidRDefault="00C00788" w:rsidP="005E788C">
      <w:pPr>
        <w:pStyle w:val="01BodyCopy"/>
        <w:spacing w:after="160"/>
      </w:pPr>
      <w:r w:rsidRPr="00C00788">
        <w:t>The plan fosters high standards, and demands alignment between the key measures and actual compensation.</w:t>
      </w:r>
    </w:p>
    <w:p w:rsidR="00C00788" w:rsidRPr="00C00788" w:rsidRDefault="00C00788" w:rsidP="005E788C">
      <w:pPr>
        <w:pStyle w:val="01BodyCopy"/>
        <w:spacing w:after="160"/>
      </w:pPr>
      <w:r w:rsidRPr="00C00788">
        <w:t xml:space="preserve">Alignment is all about getting rewards/compensation aligned with the company’s goals.  </w:t>
      </w:r>
    </w:p>
    <w:p w:rsidR="00C00788" w:rsidRPr="00C00788" w:rsidRDefault="00C00788" w:rsidP="005E788C">
      <w:pPr>
        <w:pStyle w:val="01BodyCopy"/>
        <w:spacing w:after="160"/>
      </w:pPr>
      <w:r w:rsidRPr="00C00788">
        <w:t xml:space="preserve">Placing rewards/compensation directly in line with the requirements of what the company needs its goals to be in the marketplace, and then rewarding those who achieve those goals both individually, and as a team.  </w:t>
      </w:r>
    </w:p>
    <w:p w:rsidR="00C00788" w:rsidRPr="00C00788" w:rsidRDefault="00C00788" w:rsidP="005E788C">
      <w:pPr>
        <w:pStyle w:val="01BodyCopy"/>
        <w:spacing w:after="160"/>
      </w:pPr>
      <w:r w:rsidRPr="00C00788">
        <w:t xml:space="preserve">This type of system is designed for company’s who already have a management team in place, and are ready to pay for upside performance (although it could be adapted).  </w:t>
      </w:r>
    </w:p>
    <w:p w:rsidR="00C00788" w:rsidRPr="00C00788" w:rsidRDefault="00C00788" w:rsidP="005E788C">
      <w:pPr>
        <w:pStyle w:val="01BodyCopy"/>
        <w:spacing w:after="160"/>
      </w:pPr>
      <w:r w:rsidRPr="00C00788">
        <w:t>The rollout, customization, and understanding of this type of plan must be the responsibility of the leader, so all involved within a program of “Shared Success” can be:</w:t>
      </w:r>
    </w:p>
    <w:p w:rsidR="00C00788" w:rsidRPr="00C00788" w:rsidRDefault="00C00788" w:rsidP="005E788C">
      <w:pPr>
        <w:pStyle w:val="01BodyCopy"/>
        <w:numPr>
          <w:ilvl w:val="0"/>
          <w:numId w:val="30"/>
        </w:numPr>
        <w:spacing w:after="160"/>
      </w:pPr>
      <w:r w:rsidRPr="00C00788">
        <w:t>Held accountable for their activities.</w:t>
      </w:r>
    </w:p>
    <w:p w:rsidR="00C00788" w:rsidRPr="00C00788" w:rsidRDefault="00C00788" w:rsidP="005E788C">
      <w:pPr>
        <w:pStyle w:val="01BodyCopy"/>
        <w:numPr>
          <w:ilvl w:val="0"/>
          <w:numId w:val="30"/>
        </w:numPr>
        <w:spacing w:after="160"/>
      </w:pPr>
      <w:r w:rsidRPr="00C00788">
        <w:t>Understand how the P&amp;L, and GP structure relates to them.</w:t>
      </w:r>
    </w:p>
    <w:p w:rsidR="00C00788" w:rsidRPr="00C00788" w:rsidRDefault="00C00788" w:rsidP="005E788C">
      <w:pPr>
        <w:pStyle w:val="01BodyCopy"/>
        <w:numPr>
          <w:ilvl w:val="0"/>
          <w:numId w:val="30"/>
        </w:numPr>
        <w:spacing w:after="160"/>
      </w:pPr>
      <w:r w:rsidRPr="00C00788">
        <w:t xml:space="preserve">Able to understand how they get rewarded from the process. </w:t>
      </w:r>
    </w:p>
    <w:p w:rsidR="00C00788" w:rsidRPr="00C00788" w:rsidRDefault="00C00788" w:rsidP="005E788C">
      <w:pPr>
        <w:pStyle w:val="01BodyCopy"/>
        <w:numPr>
          <w:ilvl w:val="0"/>
          <w:numId w:val="30"/>
        </w:numPr>
        <w:spacing w:after="160"/>
      </w:pPr>
      <w:r w:rsidRPr="00C00788">
        <w:t>Can lead and manage in an environment of open book management.</w:t>
      </w:r>
    </w:p>
    <w:p w:rsidR="00C00788" w:rsidRPr="00C00788" w:rsidRDefault="00C00788" w:rsidP="005E788C">
      <w:pPr>
        <w:pStyle w:val="01BodyCopy"/>
        <w:numPr>
          <w:ilvl w:val="0"/>
          <w:numId w:val="30"/>
        </w:numPr>
        <w:spacing w:after="160"/>
      </w:pPr>
      <w:r w:rsidRPr="00C00788">
        <w:t>Are focused on team-oriented activities first, before individual activities.</w:t>
      </w:r>
    </w:p>
    <w:p w:rsidR="00C00788" w:rsidRPr="005E788C" w:rsidRDefault="005E788C" w:rsidP="005E788C">
      <w:pPr>
        <w:pStyle w:val="03SubHeading"/>
        <w:spacing w:before="400"/>
        <w:rPr>
          <w:color w:val="0065C1"/>
        </w:rPr>
      </w:pPr>
      <w:r w:rsidRPr="005E788C">
        <w:rPr>
          <w:color w:val="0065C1"/>
        </w:rPr>
        <w:t>“</w:t>
      </w:r>
      <w:r w:rsidR="00C00788" w:rsidRPr="005E788C">
        <w:rPr>
          <w:color w:val="0065C1"/>
        </w:rPr>
        <w:t>Shared Success</w:t>
      </w:r>
      <w:r w:rsidRPr="005E788C">
        <w:rPr>
          <w:color w:val="0065C1"/>
        </w:rPr>
        <w:t>”</w:t>
      </w:r>
    </w:p>
    <w:p w:rsidR="00C00788" w:rsidRPr="00C00788" w:rsidRDefault="00C00788" w:rsidP="005E788C">
      <w:pPr>
        <w:pStyle w:val="03SubHeading"/>
        <w:spacing w:after="280"/>
      </w:pPr>
      <w:r w:rsidRPr="00C00788">
        <w:t>A Key Employee Bonus Plan</w:t>
      </w:r>
    </w:p>
    <w:p w:rsidR="00C00788" w:rsidRPr="005E788C" w:rsidRDefault="00C00788" w:rsidP="005E788C">
      <w:pPr>
        <w:pStyle w:val="01BodyCopy"/>
        <w:spacing w:after="120"/>
        <w:rPr>
          <w:b/>
        </w:rPr>
      </w:pPr>
      <w:r w:rsidRPr="005E788C">
        <w:rPr>
          <w:b/>
        </w:rPr>
        <w:t>Goals of the Bonus System:</w:t>
      </w:r>
    </w:p>
    <w:p w:rsidR="00C00788" w:rsidRPr="00C00788" w:rsidRDefault="00C00788" w:rsidP="005E788C">
      <w:pPr>
        <w:pStyle w:val="01BodyCopy"/>
        <w:numPr>
          <w:ilvl w:val="0"/>
          <w:numId w:val="31"/>
        </w:numPr>
        <w:spacing w:after="160"/>
      </w:pPr>
      <w:r w:rsidRPr="00C00788">
        <w:t>To allow the employees at key designated positions to participate in the overall success of the company.  Through sharing of excess GP over target.  So long as the company hits its overall target Gross Profit.</w:t>
      </w:r>
    </w:p>
    <w:p w:rsidR="00C00788" w:rsidRPr="00C00788" w:rsidRDefault="00C00788" w:rsidP="005E788C">
      <w:pPr>
        <w:pStyle w:val="01BodyCopy"/>
        <w:numPr>
          <w:ilvl w:val="0"/>
          <w:numId w:val="31"/>
        </w:numPr>
        <w:spacing w:after="160"/>
      </w:pPr>
      <w:r w:rsidRPr="00C00788">
        <w:t xml:space="preserve">To share “Overage” profits based upon a standard/stretch goal (Gross Profit) set by the management team based upon the operating budget of the company, and a stretch target that is set which is a challenge, but attainable.  </w:t>
      </w:r>
    </w:p>
    <w:p w:rsidR="00C00788" w:rsidRPr="00C00788" w:rsidRDefault="00C00788" w:rsidP="005E788C">
      <w:pPr>
        <w:pStyle w:val="01BodyCopy"/>
        <w:numPr>
          <w:ilvl w:val="0"/>
          <w:numId w:val="31"/>
        </w:numPr>
        <w:spacing w:after="160"/>
      </w:pPr>
      <w:r w:rsidRPr="00C00788">
        <w:t>Create an atmosphere of teamwork, and innovation by aligning compensation and rewards with the goals of the company operating plans.</w:t>
      </w:r>
    </w:p>
    <w:p w:rsidR="00C00788" w:rsidRPr="00C00788" w:rsidRDefault="00C00788" w:rsidP="005E788C">
      <w:pPr>
        <w:pStyle w:val="01BodyCopy"/>
        <w:numPr>
          <w:ilvl w:val="0"/>
          <w:numId w:val="31"/>
        </w:numPr>
        <w:spacing w:after="160"/>
      </w:pPr>
      <w:r w:rsidRPr="00C00788">
        <w:t>Support the “Open Book” management philosophy, of sharing information with the employees about the company operations, and aligning rewards with the information.</w:t>
      </w:r>
    </w:p>
    <w:p w:rsidR="00C00788" w:rsidRPr="00C00788" w:rsidRDefault="00C00788" w:rsidP="005E788C">
      <w:pPr>
        <w:pStyle w:val="01BodyCopy"/>
        <w:numPr>
          <w:ilvl w:val="0"/>
          <w:numId w:val="31"/>
        </w:numPr>
        <w:spacing w:after="160"/>
      </w:pPr>
      <w:r w:rsidRPr="00C00788">
        <w:lastRenderedPageBreak/>
        <w:t xml:space="preserve">Place the Stretch Target of “Shared Success” in front of all key employees to raise the standard of expectations for the employee, and the company.  </w:t>
      </w:r>
    </w:p>
    <w:p w:rsidR="00C00788" w:rsidRPr="00C00788" w:rsidRDefault="00C00788" w:rsidP="005E788C">
      <w:pPr>
        <w:pStyle w:val="01BodyCopy"/>
        <w:numPr>
          <w:ilvl w:val="0"/>
          <w:numId w:val="31"/>
        </w:numPr>
        <w:spacing w:after="160"/>
      </w:pPr>
      <w:r w:rsidRPr="00C00788">
        <w:t>Allow budgeting for success to occur.  The allowance for bonuses needs to be factored into the net budget as a part of bonuses.</w:t>
      </w:r>
    </w:p>
    <w:p w:rsidR="00C00788" w:rsidRPr="00C00788" w:rsidRDefault="00C00788" w:rsidP="005E788C">
      <w:pPr>
        <w:pStyle w:val="01BodyCopy"/>
        <w:numPr>
          <w:ilvl w:val="0"/>
          <w:numId w:val="31"/>
        </w:numPr>
      </w:pPr>
      <w:r w:rsidRPr="00C00788">
        <w:t>A rolling 12 month budget process is recommended but not essential to this process.</w:t>
      </w:r>
    </w:p>
    <w:p w:rsidR="00C00788" w:rsidRPr="00C00788" w:rsidRDefault="005E788C" w:rsidP="005E788C">
      <w:pPr>
        <w:pStyle w:val="03SubHeading"/>
        <w:spacing w:before="360"/>
      </w:pPr>
      <w:r w:rsidRPr="005E788C">
        <w:rPr>
          <w:color w:val="0065C1"/>
        </w:rPr>
        <w:t>“</w:t>
      </w:r>
      <w:r w:rsidR="00C00788" w:rsidRPr="005E788C">
        <w:rPr>
          <w:color w:val="0065C1"/>
        </w:rPr>
        <w:t>Shared Success</w:t>
      </w:r>
      <w:r w:rsidRPr="005E788C">
        <w:rPr>
          <w:color w:val="0065C1"/>
        </w:rPr>
        <w:t>”</w:t>
      </w:r>
    </w:p>
    <w:p w:rsidR="00C00788" w:rsidRPr="00C00788" w:rsidRDefault="00C00788" w:rsidP="005E788C">
      <w:pPr>
        <w:pStyle w:val="03SubHeading"/>
        <w:spacing w:after="280"/>
      </w:pPr>
      <w:r w:rsidRPr="00C00788">
        <w:t>Structure of a Bonus Plan</w:t>
      </w:r>
    </w:p>
    <w:p w:rsidR="00C00788" w:rsidRPr="00C00788" w:rsidRDefault="00C00788" w:rsidP="005E788C">
      <w:pPr>
        <w:pStyle w:val="01BodyCopy"/>
        <w:numPr>
          <w:ilvl w:val="0"/>
          <w:numId w:val="32"/>
        </w:numPr>
        <w:spacing w:after="160"/>
      </w:pPr>
      <w:r w:rsidRPr="00C00788">
        <w:t>The plan is based on Gross Profit dollars.  The total of the company and departmental.</w:t>
      </w:r>
    </w:p>
    <w:p w:rsidR="00C00788" w:rsidRPr="00C00788" w:rsidRDefault="00C00788" w:rsidP="005E788C">
      <w:pPr>
        <w:pStyle w:val="01BodyCopy"/>
        <w:numPr>
          <w:ilvl w:val="0"/>
          <w:numId w:val="32"/>
        </w:numPr>
        <w:spacing w:after="160"/>
      </w:pPr>
      <w:r w:rsidRPr="00C00788">
        <w:t xml:space="preserve">A budget will be established by the management team, and all managers should participate in the budgeting processes. </w:t>
      </w:r>
    </w:p>
    <w:p w:rsidR="00C00788" w:rsidRPr="00C00788" w:rsidRDefault="00C00788" w:rsidP="005E788C">
      <w:pPr>
        <w:pStyle w:val="01BodyCopy"/>
        <w:numPr>
          <w:ilvl w:val="0"/>
          <w:numId w:val="32"/>
        </w:numPr>
        <w:spacing w:after="160"/>
      </w:pPr>
      <w:r w:rsidRPr="00C00788">
        <w:t xml:space="preserve">A baseline goal for gross profit is assigned from the budget for the year for each department and totals for the company.  </w:t>
      </w:r>
    </w:p>
    <w:p w:rsidR="00C00788" w:rsidRPr="00C00788" w:rsidRDefault="00C00788" w:rsidP="005E788C">
      <w:pPr>
        <w:pStyle w:val="01BodyCopy"/>
        <w:numPr>
          <w:ilvl w:val="0"/>
          <w:numId w:val="32"/>
        </w:numPr>
        <w:spacing w:after="160"/>
      </w:pPr>
      <w:r w:rsidRPr="00C00788">
        <w:t>The company’s operating profit goal, based on an operating plan.</w:t>
      </w:r>
    </w:p>
    <w:p w:rsidR="00C00788" w:rsidRPr="00C00788" w:rsidRDefault="00C00788" w:rsidP="005E788C">
      <w:pPr>
        <w:pStyle w:val="01BodyCopy"/>
        <w:numPr>
          <w:ilvl w:val="0"/>
          <w:numId w:val="32"/>
        </w:numPr>
        <w:spacing w:after="160"/>
      </w:pPr>
      <w:r w:rsidRPr="00C00788">
        <w:t xml:space="preserve">The management team determines the “Stretch GP target”, which will be used for the “Shared Success” bonus program.  </w:t>
      </w:r>
    </w:p>
    <w:p w:rsidR="00187B80" w:rsidRDefault="00C00788" w:rsidP="00187B80">
      <w:pPr>
        <w:pStyle w:val="01BodyCopy"/>
        <w:numPr>
          <w:ilvl w:val="0"/>
          <w:numId w:val="32"/>
        </w:numPr>
        <w:spacing w:before="160" w:after="120"/>
      </w:pPr>
      <w:r w:rsidRPr="00C00788">
        <w:t xml:space="preserve">(50)% of the overage from the base target is used for the available bonus pool for “Shared Success”.  </w:t>
      </w:r>
    </w:p>
    <w:p w:rsidR="00C00788" w:rsidRPr="00C00788" w:rsidRDefault="00C00788" w:rsidP="00187B80">
      <w:pPr>
        <w:pStyle w:val="01BodyCopy"/>
        <w:spacing w:before="160" w:after="120"/>
        <w:ind w:left="720"/>
      </w:pPr>
      <w:bookmarkStart w:id="0" w:name="_GoBack"/>
      <w:bookmarkEnd w:id="0"/>
      <w:r w:rsidRPr="00187B80">
        <w:rPr>
          <w:b/>
        </w:rPr>
        <w:t>Example:</w:t>
      </w:r>
      <w:r w:rsidRPr="00C00788">
        <w:t xml:space="preserve"> </w:t>
      </w:r>
    </w:p>
    <w:p w:rsidR="00C00788" w:rsidRPr="00C00788" w:rsidRDefault="00C00788" w:rsidP="00187B80">
      <w:pPr>
        <w:pStyle w:val="01BodyCopy"/>
        <w:ind w:left="720"/>
      </w:pPr>
      <w:r w:rsidRPr="00C00788">
        <w:t xml:space="preserve">Company Planned GP = 40% or $ </w:t>
      </w:r>
      <w:r w:rsidR="00187B80" w:rsidRPr="00C00788">
        <w:t>400,000 on</w:t>
      </w:r>
      <w:r w:rsidRPr="00C00788">
        <w:t xml:space="preserve"> sales of 1,000,000 million</w:t>
      </w:r>
    </w:p>
    <w:p w:rsidR="00C00788" w:rsidRPr="00C00788" w:rsidRDefault="00C00788" w:rsidP="00187B80">
      <w:pPr>
        <w:pStyle w:val="01BodyCopy"/>
        <w:ind w:left="720"/>
      </w:pPr>
      <w:r w:rsidRPr="00C00788">
        <w:t>Actual GP of 45% on Sales of 1,000,000 or GP Dollars of $450,000</w:t>
      </w:r>
    </w:p>
    <w:p w:rsidR="00C00788" w:rsidRPr="00C00788" w:rsidRDefault="00C00788" w:rsidP="00187B80">
      <w:pPr>
        <w:pStyle w:val="01BodyCopy"/>
        <w:ind w:left="720"/>
      </w:pPr>
      <w:r w:rsidRPr="00C00788">
        <w:t>Shared Success Calculation = overage is $50,000. So 50% of this figure is available</w:t>
      </w:r>
    </w:p>
    <w:p w:rsidR="00C00788" w:rsidRPr="00C00788" w:rsidRDefault="00C00788" w:rsidP="00187B80">
      <w:pPr>
        <w:pStyle w:val="01BodyCopy"/>
        <w:spacing w:after="120"/>
        <w:ind w:left="720"/>
      </w:pPr>
      <w:r w:rsidRPr="00C00788">
        <w:t xml:space="preserve">Shared Success Bonus Pool = $25,000 Available dollars </w:t>
      </w:r>
    </w:p>
    <w:p w:rsidR="00C00788" w:rsidRPr="005E788C" w:rsidRDefault="00C00788" w:rsidP="005E788C">
      <w:pPr>
        <w:pStyle w:val="01BodyCopy"/>
        <w:ind w:firstLine="720"/>
        <w:rPr>
          <w:b/>
        </w:rPr>
      </w:pPr>
      <w:r w:rsidRPr="005E788C">
        <w:rPr>
          <w:b/>
        </w:rPr>
        <w:t xml:space="preserve">Impact to P&amp;L is </w:t>
      </w:r>
    </w:p>
    <w:p w:rsidR="00C00788" w:rsidRPr="00C00788" w:rsidRDefault="00C00788" w:rsidP="005E788C">
      <w:pPr>
        <w:pStyle w:val="01BodyCopy"/>
        <w:ind w:left="720" w:firstLine="720"/>
      </w:pPr>
      <w:r w:rsidRPr="00C00788">
        <w:t xml:space="preserve">1,000,000 </w:t>
      </w:r>
    </w:p>
    <w:p w:rsidR="00C00788" w:rsidRPr="00C00788" w:rsidRDefault="00C00788" w:rsidP="005E788C">
      <w:pPr>
        <w:pStyle w:val="01BodyCopy"/>
        <w:ind w:left="720" w:firstLine="720"/>
      </w:pPr>
      <w:r w:rsidRPr="00C00788">
        <w:t>550,000 Cost of Sales</w:t>
      </w:r>
    </w:p>
    <w:p w:rsidR="00C00788" w:rsidRPr="00C00788" w:rsidRDefault="005E788C" w:rsidP="005E788C">
      <w:pPr>
        <w:pStyle w:val="01BodyCopy"/>
        <w:ind w:firstLine="720"/>
      </w:pPr>
      <w:r>
        <w:t>=</w:t>
      </w:r>
      <w:r>
        <w:tab/>
      </w:r>
      <w:r w:rsidR="00C00788" w:rsidRPr="00C00788">
        <w:t>450,000 Gross Profit</w:t>
      </w:r>
    </w:p>
    <w:p w:rsidR="00C00788" w:rsidRPr="00C00788" w:rsidRDefault="005E788C" w:rsidP="005E788C">
      <w:pPr>
        <w:pStyle w:val="01BodyCopy"/>
        <w:ind w:firstLine="720"/>
      </w:pPr>
      <w:r>
        <w:t>-</w:t>
      </w:r>
      <w:r>
        <w:tab/>
      </w:r>
      <w:r w:rsidR="00C00788" w:rsidRPr="00C00788">
        <w:t>250,000 Overhead</w:t>
      </w:r>
    </w:p>
    <w:p w:rsidR="00C00788" w:rsidRPr="00C00788" w:rsidRDefault="00C00788" w:rsidP="005E788C">
      <w:pPr>
        <w:pStyle w:val="01BodyCopy"/>
        <w:ind w:left="720" w:firstLine="720"/>
      </w:pPr>
      <w:r w:rsidRPr="00C00788">
        <w:t xml:space="preserve">200,000 = 20% EBIT </w:t>
      </w:r>
    </w:p>
    <w:p w:rsidR="00C00788" w:rsidRPr="00C00788" w:rsidRDefault="00C00788" w:rsidP="00C00788">
      <w:pPr>
        <w:pStyle w:val="01BodyCopy"/>
      </w:pPr>
    </w:p>
    <w:p w:rsidR="00C00788" w:rsidRPr="00C00788" w:rsidRDefault="00C00788" w:rsidP="005E788C">
      <w:pPr>
        <w:pStyle w:val="01BodyCopy"/>
        <w:ind w:left="720" w:firstLine="720"/>
      </w:pPr>
      <w:r w:rsidRPr="00C00788">
        <w:t xml:space="preserve">1,000,000 </w:t>
      </w:r>
    </w:p>
    <w:p w:rsidR="00C00788" w:rsidRPr="00C00788" w:rsidRDefault="00C00788" w:rsidP="005E788C">
      <w:pPr>
        <w:pStyle w:val="01BodyCopy"/>
        <w:ind w:left="720" w:firstLine="720"/>
      </w:pPr>
      <w:r w:rsidRPr="00C00788">
        <w:t>550,000 Cost of Sales</w:t>
      </w:r>
    </w:p>
    <w:p w:rsidR="00C00788" w:rsidRPr="00C00788" w:rsidRDefault="005E788C" w:rsidP="005E788C">
      <w:pPr>
        <w:pStyle w:val="01BodyCopy"/>
        <w:ind w:firstLine="720"/>
      </w:pPr>
      <w:r>
        <w:t>=</w:t>
      </w:r>
      <w:r>
        <w:tab/>
      </w:r>
      <w:r w:rsidR="00C00788" w:rsidRPr="00C00788">
        <w:t>450,000 Gross Profit</w:t>
      </w:r>
    </w:p>
    <w:p w:rsidR="00C00788" w:rsidRPr="00C00788" w:rsidRDefault="00C00788" w:rsidP="005E788C">
      <w:pPr>
        <w:pStyle w:val="01BodyCopy"/>
        <w:ind w:left="1440" w:firstLine="720"/>
      </w:pPr>
      <w:r w:rsidRPr="00C00788">
        <w:t>250,000 Overhead (but overhead accrues added $25,000)</w:t>
      </w:r>
    </w:p>
    <w:p w:rsidR="00C00788" w:rsidRPr="00C00788" w:rsidRDefault="00C00788" w:rsidP="005E788C">
      <w:pPr>
        <w:pStyle w:val="01BodyCopy"/>
        <w:ind w:left="1440" w:firstLine="720"/>
      </w:pPr>
      <w:r w:rsidRPr="00C00788">
        <w:t>25,000</w:t>
      </w:r>
    </w:p>
    <w:p w:rsidR="00C00788" w:rsidRPr="00C00788" w:rsidRDefault="005E788C" w:rsidP="005E788C">
      <w:pPr>
        <w:pStyle w:val="01BodyCopy"/>
        <w:ind w:firstLine="720"/>
      </w:pPr>
      <w:r>
        <w:t xml:space="preserve">- </w:t>
      </w:r>
      <w:r>
        <w:tab/>
      </w:r>
      <w:r w:rsidR="00C00788" w:rsidRPr="00C00788">
        <w:t>175,000 = 17.5% EBIT</w:t>
      </w:r>
    </w:p>
    <w:p w:rsidR="00C00788" w:rsidRPr="00C00788" w:rsidRDefault="00C00788" w:rsidP="005E788C">
      <w:pPr>
        <w:pStyle w:val="01BodyCopy"/>
        <w:spacing w:after="160"/>
        <w:ind w:left="360"/>
      </w:pPr>
      <w:r w:rsidRPr="00C00788">
        <w:lastRenderedPageBreak/>
        <w:t>So it is important for the company to set the target well, based on how GP affects the profit.  Understanding overhead in a budget is also a key.</w:t>
      </w:r>
    </w:p>
    <w:p w:rsidR="00C00788" w:rsidRDefault="00C00788" w:rsidP="005E788C">
      <w:pPr>
        <w:pStyle w:val="01BodyCopy"/>
        <w:numPr>
          <w:ilvl w:val="0"/>
          <w:numId w:val="32"/>
        </w:numPr>
        <w:spacing w:after="160"/>
      </w:pPr>
      <w:r w:rsidRPr="00C00788">
        <w:t>The management team can split the bonus among managers based on various methods</w:t>
      </w:r>
      <w:r w:rsidR="005E788C">
        <w:t>.</w:t>
      </w:r>
    </w:p>
    <w:p w:rsidR="005E788C" w:rsidRDefault="005E788C" w:rsidP="005E788C">
      <w:pPr>
        <w:pStyle w:val="01BodyCopy"/>
        <w:spacing w:after="160"/>
      </w:pPr>
      <w:r>
        <w:rPr>
          <w:noProof/>
        </w:rPr>
        <mc:AlternateContent>
          <mc:Choice Requires="wps">
            <w:drawing>
              <wp:anchor distT="0" distB="0" distL="114300" distR="114300" simplePos="0" relativeHeight="251659264" behindDoc="1" locked="0" layoutInCell="1" allowOverlap="1" wp14:anchorId="47A1BB42" wp14:editId="2299AA1F">
                <wp:simplePos x="0" y="0"/>
                <wp:positionH relativeFrom="margin">
                  <wp:align>center</wp:align>
                </wp:positionH>
                <wp:positionV relativeFrom="paragraph">
                  <wp:posOffset>206375</wp:posOffset>
                </wp:positionV>
                <wp:extent cx="5372100" cy="666750"/>
                <wp:effectExtent l="0" t="0" r="19050" b="1905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66750"/>
                        </a:xfrm>
                        <a:prstGeom prst="rect">
                          <a:avLst/>
                        </a:prstGeom>
                        <a:solidFill>
                          <a:srgbClr val="FFFFFF"/>
                        </a:solidFill>
                        <a:ln w="19050">
                          <a:solidFill>
                            <a:srgbClr val="0065C1"/>
                          </a:solidFill>
                          <a:miter lim="800000"/>
                          <a:headEnd/>
                          <a:tailEnd/>
                        </a:ln>
                      </wps:spPr>
                      <wps:txbx>
                        <w:txbxContent>
                          <w:p w:rsidR="00717E5E" w:rsidRDefault="00C00788" w:rsidP="00717E5E">
                            <w:pPr>
                              <w:jc w:val="center"/>
                            </w:pPr>
                            <w:r w:rsidRPr="00C00788">
                              <w:rPr>
                                <w:rFonts w:ascii="Arial" w:hAnsi="Arial" w:cs="Arial"/>
                                <w:i/>
                                <w:iCs/>
                                <w:color w:val="0065C1"/>
                                <w:sz w:val="20"/>
                                <w:szCs w:val="20"/>
                              </w:rPr>
                              <w:t>Bonuses are ONLY</w:t>
                            </w:r>
                            <w:r>
                              <w:rPr>
                                <w:rFonts w:ascii="Arial" w:hAnsi="Arial" w:cs="Arial"/>
                                <w:i/>
                                <w:iCs/>
                                <w:color w:val="0065C1"/>
                                <w:sz w:val="20"/>
                                <w:szCs w:val="20"/>
                              </w:rPr>
                              <w:t xml:space="preserve"> paid if the company exceeds it</w:t>
                            </w:r>
                            <w:r w:rsidRPr="00C00788">
                              <w:rPr>
                                <w:rFonts w:ascii="Arial" w:hAnsi="Arial" w:cs="Arial"/>
                                <w:i/>
                                <w:iCs/>
                                <w:color w:val="0065C1"/>
                                <w:sz w:val="20"/>
                                <w:szCs w:val="20"/>
                              </w:rPr>
                              <w:t>s base targets of Gross Profit even though an individual may meet or exceed their individual KPI’s, if</w:t>
                            </w:r>
                            <w:r>
                              <w:rPr>
                                <w:rFonts w:ascii="Arial" w:hAnsi="Arial" w:cs="Arial"/>
                                <w:i/>
                                <w:iCs/>
                                <w:color w:val="0065C1"/>
                                <w:sz w:val="20"/>
                                <w:szCs w:val="20"/>
                              </w:rPr>
                              <w:t xml:space="preserve"> the company does not exceed it</w:t>
                            </w:r>
                            <w:r w:rsidRPr="00C00788">
                              <w:rPr>
                                <w:rFonts w:ascii="Arial" w:hAnsi="Arial" w:cs="Arial"/>
                                <w:i/>
                                <w:iCs/>
                                <w:color w:val="0065C1"/>
                                <w:sz w:val="20"/>
                                <w:szCs w:val="20"/>
                              </w:rPr>
                              <w:t xml:space="preserve">s primary base target, </w:t>
                            </w:r>
                            <w:r w:rsidR="00187B80" w:rsidRPr="00C00788">
                              <w:rPr>
                                <w:rFonts w:ascii="Arial" w:hAnsi="Arial" w:cs="Arial"/>
                                <w:i/>
                                <w:iCs/>
                                <w:color w:val="0065C1"/>
                                <w:sz w:val="20"/>
                                <w:szCs w:val="20"/>
                              </w:rPr>
                              <w:t>and then</w:t>
                            </w:r>
                            <w:r w:rsidRPr="00C00788">
                              <w:rPr>
                                <w:rFonts w:ascii="Arial" w:hAnsi="Arial" w:cs="Arial"/>
                                <w:i/>
                                <w:iCs/>
                                <w:color w:val="0065C1"/>
                                <w:sz w:val="20"/>
                                <w:szCs w:val="20"/>
                              </w:rPr>
                              <w:t xml:space="preserve"> there is no bonus available to anyone.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25pt;width:423pt;height:5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" strokecolor="#0065c1" strokeweight="1.5pt">
                <v:textbox>
                  <w:txbxContent>
                    <w:p w:rsidR="00717E5E" w:rsidRDefault="00C00788" w:rsidP="00717E5E">
                      <w:pPr>
                        <w:jc w:val="center"/>
                      </w:pPr>
                      <w:r w:rsidRPr="00C00788">
                        <w:rPr>
                          <w:rFonts w:ascii="Arial" w:hAnsi="Arial" w:cs="Arial"/>
                          <w:i/>
                          <w:iCs/>
                          <w:color w:val="0065C1"/>
                          <w:sz w:val="20"/>
                          <w:szCs w:val="20"/>
                        </w:rPr>
                        <w:t>Bonuses are ONLY</w:t>
                      </w:r>
                      <w:r>
                        <w:rPr>
                          <w:rFonts w:ascii="Arial" w:hAnsi="Arial" w:cs="Arial"/>
                          <w:i/>
                          <w:iCs/>
                          <w:color w:val="0065C1"/>
                          <w:sz w:val="20"/>
                          <w:szCs w:val="20"/>
                        </w:rPr>
                        <w:t xml:space="preserve"> paid if the company exceeds it</w:t>
                      </w:r>
                      <w:r w:rsidRPr="00C00788">
                        <w:rPr>
                          <w:rFonts w:ascii="Arial" w:hAnsi="Arial" w:cs="Arial"/>
                          <w:i/>
                          <w:iCs/>
                          <w:color w:val="0065C1"/>
                          <w:sz w:val="20"/>
                          <w:szCs w:val="20"/>
                        </w:rPr>
                        <w:t>s base targets of Gross Profit even though an individual may meet or exceed their individual KPI’s, if</w:t>
                      </w:r>
                      <w:r>
                        <w:rPr>
                          <w:rFonts w:ascii="Arial" w:hAnsi="Arial" w:cs="Arial"/>
                          <w:i/>
                          <w:iCs/>
                          <w:color w:val="0065C1"/>
                          <w:sz w:val="20"/>
                          <w:szCs w:val="20"/>
                        </w:rPr>
                        <w:t xml:space="preserve"> the company does not exceed it</w:t>
                      </w:r>
                      <w:r w:rsidRPr="00C00788">
                        <w:rPr>
                          <w:rFonts w:ascii="Arial" w:hAnsi="Arial" w:cs="Arial"/>
                          <w:i/>
                          <w:iCs/>
                          <w:color w:val="0065C1"/>
                          <w:sz w:val="20"/>
                          <w:szCs w:val="20"/>
                        </w:rPr>
                        <w:t xml:space="preserve">s primary base target, </w:t>
                      </w:r>
                      <w:r w:rsidR="00187B80" w:rsidRPr="00C00788">
                        <w:rPr>
                          <w:rFonts w:ascii="Arial" w:hAnsi="Arial" w:cs="Arial"/>
                          <w:i/>
                          <w:iCs/>
                          <w:color w:val="0065C1"/>
                          <w:sz w:val="20"/>
                          <w:szCs w:val="20"/>
                        </w:rPr>
                        <w:t>and then</w:t>
                      </w:r>
                      <w:r w:rsidRPr="00C00788">
                        <w:rPr>
                          <w:rFonts w:ascii="Arial" w:hAnsi="Arial" w:cs="Arial"/>
                          <w:i/>
                          <w:iCs/>
                          <w:color w:val="0065C1"/>
                          <w:sz w:val="20"/>
                          <w:szCs w:val="20"/>
                        </w:rPr>
                        <w:t xml:space="preserve"> there is no bonus available to anyone.  </w:t>
                      </w:r>
                    </w:p>
                  </w:txbxContent>
                </v:textbox>
                <w10:wrap type="square" anchorx="margin"/>
              </v:shape>
            </w:pict>
          </mc:Fallback>
        </mc:AlternateContent>
      </w:r>
    </w:p>
    <w:p w:rsidR="005E788C" w:rsidRDefault="005E788C" w:rsidP="005E788C">
      <w:pPr>
        <w:pStyle w:val="01BodyCopy"/>
        <w:spacing w:after="160"/>
      </w:pPr>
    </w:p>
    <w:p w:rsidR="005E788C" w:rsidRDefault="005E788C" w:rsidP="005E788C">
      <w:pPr>
        <w:pStyle w:val="01BodyCopy"/>
        <w:spacing w:after="160"/>
      </w:pPr>
    </w:p>
    <w:p w:rsidR="005E788C" w:rsidRPr="00C00788" w:rsidRDefault="005E788C" w:rsidP="005E788C">
      <w:pPr>
        <w:pStyle w:val="01BodyCopy"/>
        <w:spacing w:after="160"/>
      </w:pPr>
    </w:p>
    <w:p w:rsidR="00C00788" w:rsidRPr="005E788C" w:rsidRDefault="005E788C" w:rsidP="005E788C">
      <w:pPr>
        <w:pStyle w:val="03SubHeading"/>
        <w:spacing w:before="400"/>
        <w:rPr>
          <w:color w:val="0065C1"/>
        </w:rPr>
      </w:pPr>
      <w:r w:rsidRPr="005E788C">
        <w:rPr>
          <w:color w:val="0065C1"/>
        </w:rPr>
        <w:t>“</w:t>
      </w:r>
      <w:r w:rsidR="00C00788" w:rsidRPr="005E788C">
        <w:rPr>
          <w:color w:val="0065C1"/>
        </w:rPr>
        <w:t>Shared Success</w:t>
      </w:r>
      <w:r w:rsidRPr="005E788C">
        <w:rPr>
          <w:color w:val="0065C1"/>
        </w:rPr>
        <w:t>”</w:t>
      </w:r>
    </w:p>
    <w:p w:rsidR="00C00788" w:rsidRPr="005E788C" w:rsidRDefault="005E788C" w:rsidP="005E788C">
      <w:pPr>
        <w:pStyle w:val="03SubHeading"/>
        <w:spacing w:after="280"/>
      </w:pPr>
      <w:r>
        <w:t>Program Guidelines</w:t>
      </w:r>
    </w:p>
    <w:p w:rsidR="00C00788" w:rsidRPr="00C00788" w:rsidRDefault="00C00788" w:rsidP="005E788C">
      <w:pPr>
        <w:pStyle w:val="01BodyCopy"/>
        <w:numPr>
          <w:ilvl w:val="0"/>
          <w:numId w:val="34"/>
        </w:numPr>
        <w:spacing w:after="160"/>
      </w:pPr>
      <w:r w:rsidRPr="00C00788">
        <w:t>Shared Success is a program designed for key management team members.</w:t>
      </w:r>
    </w:p>
    <w:p w:rsidR="00C00788" w:rsidRPr="00C00788" w:rsidRDefault="00C00788" w:rsidP="005E788C">
      <w:pPr>
        <w:pStyle w:val="01BodyCopy"/>
        <w:numPr>
          <w:ilvl w:val="0"/>
          <w:numId w:val="34"/>
        </w:numPr>
        <w:spacing w:after="160"/>
      </w:pPr>
      <w:r w:rsidRPr="00C00788">
        <w:t>Eligible employees must be employed by the company through the end of a calendar year, December 31st to be eligible for the bonus plan and also in employment when the bonus is paid out.  Calculations are for the calendar year.</w:t>
      </w:r>
    </w:p>
    <w:p w:rsidR="00C00788" w:rsidRPr="00C00788" w:rsidRDefault="00C00788" w:rsidP="005E788C">
      <w:pPr>
        <w:pStyle w:val="01BodyCopy"/>
        <w:numPr>
          <w:ilvl w:val="0"/>
          <w:numId w:val="34"/>
        </w:numPr>
        <w:spacing w:after="160"/>
      </w:pPr>
      <w:r w:rsidRPr="00C00788">
        <w:t>Managers that begin the year after January 1 of the current calendar year, may be made eligible for the plan, and are compensated on a pro-rated basis after approved departmental KPI’s are established for the new manager.</w:t>
      </w:r>
    </w:p>
    <w:p w:rsidR="00C00788" w:rsidRPr="00C00788" w:rsidRDefault="00C00788" w:rsidP="005E788C">
      <w:pPr>
        <w:pStyle w:val="01BodyCopy"/>
        <w:numPr>
          <w:ilvl w:val="0"/>
          <w:numId w:val="34"/>
        </w:numPr>
        <w:spacing w:after="160"/>
      </w:pPr>
      <w:r w:rsidRPr="00C00788">
        <w:t>Shared Success is over and above any other compensation.</w:t>
      </w:r>
    </w:p>
    <w:p w:rsidR="00C00788" w:rsidRPr="00C00788" w:rsidRDefault="00C00788" w:rsidP="005E788C">
      <w:pPr>
        <w:pStyle w:val="01BodyCopy"/>
        <w:numPr>
          <w:ilvl w:val="0"/>
          <w:numId w:val="34"/>
        </w:numPr>
        <w:spacing w:after="160"/>
      </w:pPr>
      <w:r w:rsidRPr="00C00788">
        <w:t>A participating Manager may designate some or all of the Shared Success earnings to be paid to employees who work within their performance unit.  This distribution needs to be approved by the GM, and should be based on a predetermined program of distribution prior to the announcement of such a plan and once this plan is announced to an employee group it may not be rescinded.</w:t>
      </w:r>
    </w:p>
    <w:p w:rsidR="00C00788" w:rsidRPr="00C00788" w:rsidRDefault="00C00788" w:rsidP="005E788C">
      <w:pPr>
        <w:pStyle w:val="01BodyCopy"/>
        <w:numPr>
          <w:ilvl w:val="0"/>
          <w:numId w:val="34"/>
        </w:numPr>
        <w:spacing w:after="160"/>
      </w:pPr>
      <w:r w:rsidRPr="00C00788">
        <w:t>The Shared Success reward/compensation will not be paid later than the February pay period after the close of the Calendar year, and final entries are completed.</w:t>
      </w:r>
    </w:p>
    <w:p w:rsidR="00072C27" w:rsidRDefault="00072C27" w:rsidP="00072C27">
      <w:pPr>
        <w:pStyle w:val="01BodyCopy"/>
        <w:spacing w:after="60"/>
        <w:rPr>
          <w:color w:val="0065C1"/>
        </w:rPr>
      </w:pPr>
    </w:p>
    <w:p w:rsidR="00072C27" w:rsidRDefault="00072C27" w:rsidP="00072C27">
      <w:pPr>
        <w:pStyle w:val="01BodyCopy"/>
        <w:spacing w:after="60"/>
        <w:rPr>
          <w:color w:val="0065C1"/>
        </w:rPr>
      </w:pPr>
    </w:p>
    <w:p w:rsidR="00072C27" w:rsidRDefault="00072C27" w:rsidP="00072C27">
      <w:pPr>
        <w:pStyle w:val="01BodyCopy"/>
        <w:spacing w:after="60"/>
        <w:rPr>
          <w:color w:val="0065C1"/>
        </w:rPr>
      </w:pPr>
    </w:p>
    <w:p w:rsidR="00072C27" w:rsidRPr="00717E5E" w:rsidRDefault="00072C27" w:rsidP="00072C27">
      <w:pPr>
        <w:pStyle w:val="01BodyCopy"/>
        <w:spacing w:after="60"/>
        <w:rPr>
          <w:color w:val="0065C1"/>
        </w:rPr>
      </w:pPr>
    </w:p>
    <w:p w:rsidR="00717E5E" w:rsidRPr="00717E5E" w:rsidRDefault="00717E5E" w:rsidP="00717E5E">
      <w:pPr>
        <w:pStyle w:val="01BodyCopy"/>
      </w:pPr>
    </w:p>
    <w:p w:rsidR="00B05E0A" w:rsidRDefault="00B05E0A" w:rsidP="00554F13">
      <w:pPr>
        <w:pStyle w:val="02Heading"/>
        <w:rPr>
          <w:sz w:val="24"/>
        </w:rPr>
      </w:pPr>
    </w:p>
    <w:sectPr w:rsidR="00B05E0A" w:rsidSect="005E788C">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325E98" w:rsidRDefault="00F73C89" w:rsidP="0088152F">
    <w:pPr>
      <w:pStyle w:val="Footer"/>
      <w:tabs>
        <w:tab w:val="right" w:pos="9807"/>
      </w:tabs>
      <w:rPr>
        <w:color w:val="404040"/>
        <w:sz w:val="17"/>
        <w:szCs w:val="17"/>
      </w:rPr>
    </w:pPr>
    <w:r w:rsidRPr="00325E98">
      <w:rPr>
        <w:rFonts w:ascii="Arial" w:hAnsi="Arial" w:cs="Arial"/>
        <w:color w:val="404040"/>
        <w:sz w:val="17"/>
        <w:szCs w:val="17"/>
      </w:rPr>
      <w:t>© EPC Training Inc.</w:t>
    </w:r>
    <w:r w:rsidRPr="00325E98">
      <w:rPr>
        <w:color w:val="404040"/>
        <w:sz w:val="17"/>
        <w:szCs w:val="17"/>
      </w:rPr>
      <w:tab/>
    </w:r>
    <w:r w:rsidRPr="00325E98">
      <w:rPr>
        <w:color w:val="404040"/>
        <w:sz w:val="17"/>
        <w:szCs w:val="17"/>
      </w:rPr>
      <w:tab/>
    </w:r>
    <w:r w:rsidRPr="00325E98">
      <w:rPr>
        <w:color w:val="404040"/>
        <w:sz w:val="17"/>
        <w:szCs w:val="17"/>
      </w:rPr>
      <w:tab/>
    </w:r>
    <w:r w:rsidRPr="00325E98">
      <w:rPr>
        <w:rFonts w:ascii="Arial" w:hAnsi="Arial" w:cs="Arial"/>
        <w:color w:val="404040"/>
        <w:sz w:val="17"/>
        <w:szCs w:val="17"/>
      </w:rPr>
      <w:fldChar w:fldCharType="begin"/>
    </w:r>
    <w:r w:rsidRPr="00325E98">
      <w:rPr>
        <w:rFonts w:ascii="Arial" w:hAnsi="Arial" w:cs="Arial"/>
        <w:color w:val="404040"/>
        <w:sz w:val="17"/>
        <w:szCs w:val="17"/>
      </w:rPr>
      <w:instrText xml:space="preserve"> PAGE   \* MERGEFORMAT </w:instrText>
    </w:r>
    <w:r w:rsidRPr="00325E98">
      <w:rPr>
        <w:rFonts w:ascii="Arial" w:hAnsi="Arial" w:cs="Arial"/>
        <w:color w:val="404040"/>
        <w:sz w:val="17"/>
        <w:szCs w:val="17"/>
      </w:rPr>
      <w:fldChar w:fldCharType="separate"/>
    </w:r>
    <w:r w:rsidR="00187B80">
      <w:rPr>
        <w:rFonts w:ascii="Arial" w:hAnsi="Arial" w:cs="Arial"/>
        <w:noProof/>
        <w:color w:val="404040"/>
        <w:sz w:val="17"/>
        <w:szCs w:val="17"/>
      </w:rPr>
      <w:t>2</w:t>
    </w:r>
    <w:r w:rsidRPr="00325E98">
      <w:rPr>
        <w:rFonts w:ascii="Arial" w:hAnsi="Arial" w:cs="Arial"/>
        <w:noProof/>
        <w:color w:val="404040"/>
        <w:sz w:val="17"/>
        <w:szCs w:val="17"/>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187B8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54E2EF13" wp14:editId="20FA9E8B">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C00788">
      <w:t>Human Resources – Manager Bonus Plan</w:t>
    </w:r>
  </w:p>
  <w:p w:rsidR="00F73C89" w:rsidRPr="00292F81" w:rsidRDefault="00C00788" w:rsidP="00717E5E">
    <w:pPr>
      <w:pStyle w:val="Header"/>
      <w:tabs>
        <w:tab w:val="left" w:pos="450"/>
      </w:tabs>
      <w:jc w:val="right"/>
      <w:rPr>
        <w:sz w:val="36"/>
        <w:szCs w:val="36"/>
      </w:rPr>
    </w:pPr>
    <w:r>
      <w:rPr>
        <w:rFonts w:ascii="Arial" w:hAnsi="Arial" w:cs="Arial"/>
        <w:color w:val="404040"/>
        <w:sz w:val="22"/>
        <w:szCs w:val="22"/>
      </w:rPr>
      <w:t>Mid Manager Bonus Program Sample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49A110E3" wp14:editId="4311BEDD">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A1CC0"/>
    <w:multiLevelType w:val="hybridMultilevel"/>
    <w:tmpl w:val="3CD4222C"/>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35669"/>
    <w:multiLevelType w:val="singleLevel"/>
    <w:tmpl w:val="728E44D0"/>
    <w:lvl w:ilvl="0">
      <w:start w:val="1"/>
      <w:numFmt w:val="decimal"/>
      <w:lvlText w:val="%1."/>
      <w:lvlJc w:val="left"/>
      <w:pPr>
        <w:tabs>
          <w:tab w:val="num" w:pos="720"/>
        </w:tabs>
        <w:ind w:left="720" w:hanging="720"/>
      </w:pPr>
      <w:rPr>
        <w:rFonts w:hint="default"/>
      </w:rPr>
    </w:lvl>
  </w:abstractNum>
  <w:abstractNum w:abstractNumId="4">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121E0"/>
    <w:multiLevelType w:val="hybridMultilevel"/>
    <w:tmpl w:val="F2206666"/>
    <w:lvl w:ilvl="0" w:tplc="4642B722">
      <w:numFmt w:val="bullet"/>
      <w:lvlText w:val="–"/>
      <w:lvlJc w:val="left"/>
      <w:pPr>
        <w:tabs>
          <w:tab w:val="num" w:pos="1560"/>
        </w:tabs>
        <w:ind w:left="1560" w:hanging="840"/>
      </w:pPr>
      <w:rPr>
        <w:rFonts w:ascii="Times New Roman" w:eastAsia="Times New Roman" w:hAnsi="Times New Roman" w:cs="Times New Roman" w:hint="default"/>
      </w:rPr>
    </w:lvl>
    <w:lvl w:ilvl="1" w:tplc="B78045CA">
      <w:numFmt w:val="bullet"/>
      <w:lvlText w:val="-"/>
      <w:lvlJc w:val="left"/>
      <w:pPr>
        <w:tabs>
          <w:tab w:val="num" w:pos="2280"/>
        </w:tabs>
        <w:ind w:left="2280" w:hanging="84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E6BF0"/>
    <w:multiLevelType w:val="hybridMultilevel"/>
    <w:tmpl w:val="75F4AA86"/>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C23523"/>
    <w:multiLevelType w:val="hybridMultilevel"/>
    <w:tmpl w:val="A03A721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E412EF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32BB7E92"/>
    <w:multiLevelType w:val="hybridMultilevel"/>
    <w:tmpl w:val="0E902D90"/>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BF7190"/>
    <w:multiLevelType w:val="singleLevel"/>
    <w:tmpl w:val="E2E4ED3C"/>
    <w:lvl w:ilvl="0">
      <w:start w:val="1"/>
      <w:numFmt w:val="decimal"/>
      <w:lvlText w:val="%1."/>
      <w:lvlJc w:val="left"/>
      <w:pPr>
        <w:tabs>
          <w:tab w:val="num" w:pos="720"/>
        </w:tabs>
        <w:ind w:left="720" w:hanging="720"/>
      </w:pPr>
      <w:rPr>
        <w:rFonts w:hint="default"/>
      </w:rPr>
    </w:lvl>
  </w:abstractNum>
  <w:abstractNum w:abstractNumId="18">
    <w:nsid w:val="43635CB3"/>
    <w:multiLevelType w:val="hybridMultilevel"/>
    <w:tmpl w:val="EC7C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4A82ECD"/>
    <w:multiLevelType w:val="hybridMultilevel"/>
    <w:tmpl w:val="AB821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25D1266"/>
    <w:multiLevelType w:val="singleLevel"/>
    <w:tmpl w:val="269C9E8A"/>
    <w:lvl w:ilvl="0">
      <w:start w:val="1"/>
      <w:numFmt w:val="decimal"/>
      <w:lvlText w:val="%1."/>
      <w:lvlJc w:val="left"/>
      <w:pPr>
        <w:tabs>
          <w:tab w:val="num" w:pos="1440"/>
        </w:tabs>
        <w:ind w:left="1440" w:hanging="720"/>
      </w:pPr>
      <w:rPr>
        <w:rFonts w:hint="default"/>
      </w:rPr>
    </w:lvl>
  </w:abstractNum>
  <w:abstractNum w:abstractNumId="24">
    <w:nsid w:val="557668F6"/>
    <w:multiLevelType w:val="hybridMultilevel"/>
    <w:tmpl w:val="DC1A5084"/>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094FEB"/>
    <w:multiLevelType w:val="hybridMultilevel"/>
    <w:tmpl w:val="848C55F2"/>
    <w:lvl w:ilvl="0" w:tplc="39BE8060">
      <w:start w:val="1"/>
      <w:numFmt w:val="decimal"/>
      <w:lvlText w:val="%1."/>
      <w:lvlJc w:val="left"/>
      <w:pPr>
        <w:ind w:left="720" w:hanging="360"/>
      </w:pPr>
      <w:rPr>
        <w:rFonts w:hint="default"/>
        <w:color w:val="4040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3E3D3A"/>
    <w:multiLevelType w:val="singleLevel"/>
    <w:tmpl w:val="26DE96D2"/>
    <w:lvl w:ilvl="0">
      <w:start w:val="1"/>
      <w:numFmt w:val="decimal"/>
      <w:lvlText w:val="%1."/>
      <w:lvlJc w:val="left"/>
      <w:pPr>
        <w:tabs>
          <w:tab w:val="num" w:pos="720"/>
        </w:tabs>
        <w:ind w:left="720" w:hanging="720"/>
      </w:pPr>
      <w:rPr>
        <w:rFonts w:hint="default"/>
      </w:rPr>
    </w:lvl>
  </w:abstractNum>
  <w:abstractNum w:abstractNumId="31">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16"/>
  </w:num>
  <w:num w:numId="4">
    <w:abstractNumId w:val="32"/>
  </w:num>
  <w:num w:numId="5">
    <w:abstractNumId w:val="25"/>
  </w:num>
  <w:num w:numId="6">
    <w:abstractNumId w:val="6"/>
  </w:num>
  <w:num w:numId="7">
    <w:abstractNumId w:val="31"/>
  </w:num>
  <w:num w:numId="8">
    <w:abstractNumId w:val="28"/>
  </w:num>
  <w:num w:numId="9">
    <w:abstractNumId w:val="1"/>
  </w:num>
  <w:num w:numId="10">
    <w:abstractNumId w:val="27"/>
  </w:num>
  <w:num w:numId="11">
    <w:abstractNumId w:val="33"/>
  </w:num>
  <w:num w:numId="12">
    <w:abstractNumId w:val="11"/>
  </w:num>
  <w:num w:numId="13">
    <w:abstractNumId w:val="15"/>
  </w:num>
  <w:num w:numId="14">
    <w:abstractNumId w:val="22"/>
  </w:num>
  <w:num w:numId="15">
    <w:abstractNumId w:val="21"/>
  </w:num>
  <w:num w:numId="16">
    <w:abstractNumId w:val="4"/>
  </w:num>
  <w:num w:numId="17">
    <w:abstractNumId w:val="8"/>
  </w:num>
  <w:num w:numId="18">
    <w:abstractNumId w:val="5"/>
  </w:num>
  <w:num w:numId="19">
    <w:abstractNumId w:val="20"/>
  </w:num>
  <w:num w:numId="20">
    <w:abstractNumId w:val="26"/>
  </w:num>
  <w:num w:numId="21">
    <w:abstractNumId w:val="19"/>
  </w:num>
  <w:num w:numId="22">
    <w:abstractNumId w:val="12"/>
  </w:num>
  <w:num w:numId="23">
    <w:abstractNumId w:val="18"/>
  </w:num>
  <w:num w:numId="24">
    <w:abstractNumId w:val="3"/>
  </w:num>
  <w:num w:numId="25">
    <w:abstractNumId w:val="17"/>
  </w:num>
  <w:num w:numId="26">
    <w:abstractNumId w:val="30"/>
  </w:num>
  <w:num w:numId="27">
    <w:abstractNumId w:val="23"/>
  </w:num>
  <w:num w:numId="28">
    <w:abstractNumId w:val="13"/>
  </w:num>
  <w:num w:numId="29">
    <w:abstractNumId w:val="7"/>
  </w:num>
  <w:num w:numId="30">
    <w:abstractNumId w:val="29"/>
  </w:num>
  <w:num w:numId="31">
    <w:abstractNumId w:val="2"/>
  </w:num>
  <w:num w:numId="32">
    <w:abstractNumId w:val="9"/>
  </w:num>
  <w:num w:numId="33">
    <w:abstractNumId w:val="24"/>
  </w:num>
  <w:num w:numId="3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42582"/>
    <w:rsid w:val="0004689D"/>
    <w:rsid w:val="00046981"/>
    <w:rsid w:val="00063803"/>
    <w:rsid w:val="00072500"/>
    <w:rsid w:val="00072C27"/>
    <w:rsid w:val="00081BF4"/>
    <w:rsid w:val="0008719F"/>
    <w:rsid w:val="00097784"/>
    <w:rsid w:val="000A4560"/>
    <w:rsid w:val="000A5F9A"/>
    <w:rsid w:val="000B22C8"/>
    <w:rsid w:val="000B30A8"/>
    <w:rsid w:val="000D11B8"/>
    <w:rsid w:val="000D43F1"/>
    <w:rsid w:val="000D728A"/>
    <w:rsid w:val="000E3D29"/>
    <w:rsid w:val="000E740E"/>
    <w:rsid w:val="000F1900"/>
    <w:rsid w:val="000F1A3D"/>
    <w:rsid w:val="001018A1"/>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87B80"/>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5E98"/>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E788C"/>
    <w:rsid w:val="005F46CD"/>
    <w:rsid w:val="005F52FC"/>
    <w:rsid w:val="005F7305"/>
    <w:rsid w:val="00601282"/>
    <w:rsid w:val="00604412"/>
    <w:rsid w:val="0060771A"/>
    <w:rsid w:val="00607C75"/>
    <w:rsid w:val="00636216"/>
    <w:rsid w:val="00645038"/>
    <w:rsid w:val="00646949"/>
    <w:rsid w:val="006529B7"/>
    <w:rsid w:val="00652F0B"/>
    <w:rsid w:val="00654965"/>
    <w:rsid w:val="0065658F"/>
    <w:rsid w:val="0066252A"/>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801B8F"/>
    <w:rsid w:val="008035EA"/>
    <w:rsid w:val="008115D4"/>
    <w:rsid w:val="008408FB"/>
    <w:rsid w:val="00842545"/>
    <w:rsid w:val="00843C7E"/>
    <w:rsid w:val="00850909"/>
    <w:rsid w:val="0085405F"/>
    <w:rsid w:val="00856056"/>
    <w:rsid w:val="00863E58"/>
    <w:rsid w:val="008642EA"/>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585F"/>
    <w:rsid w:val="00995219"/>
    <w:rsid w:val="00995C9D"/>
    <w:rsid w:val="009961C8"/>
    <w:rsid w:val="009A0558"/>
    <w:rsid w:val="009B19AD"/>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0915"/>
    <w:rsid w:val="00B95D5B"/>
    <w:rsid w:val="00BA128E"/>
    <w:rsid w:val="00BA7840"/>
    <w:rsid w:val="00BD35B0"/>
    <w:rsid w:val="00BE1147"/>
    <w:rsid w:val="00BE1188"/>
    <w:rsid w:val="00BE18B6"/>
    <w:rsid w:val="00BF5C62"/>
    <w:rsid w:val="00BF77A7"/>
    <w:rsid w:val="00C00788"/>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A0C08"/>
    <w:rsid w:val="00DA768B"/>
    <w:rsid w:val="00DB6C95"/>
    <w:rsid w:val="00DC6CD3"/>
    <w:rsid w:val="00DD2EC4"/>
    <w:rsid w:val="00DD68A5"/>
    <w:rsid w:val="00DE296E"/>
    <w:rsid w:val="00DE3D7E"/>
    <w:rsid w:val="00DE57A2"/>
    <w:rsid w:val="00DF0B63"/>
    <w:rsid w:val="00DF3C32"/>
    <w:rsid w:val="00E0213B"/>
    <w:rsid w:val="00E0652C"/>
    <w:rsid w:val="00E15BC6"/>
    <w:rsid w:val="00E27EE6"/>
    <w:rsid w:val="00E37655"/>
    <w:rsid w:val="00E45ABC"/>
    <w:rsid w:val="00E6244A"/>
    <w:rsid w:val="00E720BB"/>
    <w:rsid w:val="00E72AD4"/>
    <w:rsid w:val="00E81BE5"/>
    <w:rsid w:val="00E85BD1"/>
    <w:rsid w:val="00E8650F"/>
    <w:rsid w:val="00E91312"/>
    <w:rsid w:val="00E91409"/>
    <w:rsid w:val="00E95F4D"/>
    <w:rsid w:val="00EA5864"/>
    <w:rsid w:val="00EA5FA6"/>
    <w:rsid w:val="00EB25A9"/>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87B80"/>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187B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7B80"/>
  </w:style>
  <w:style w:type="paragraph" w:styleId="Header">
    <w:name w:val="header"/>
    <w:basedOn w:val="Normal"/>
    <w:link w:val="HeaderChar"/>
    <w:uiPriority w:val="99"/>
    <w:unhideWhenUsed/>
    <w:rsid w:val="00187B80"/>
    <w:pPr>
      <w:tabs>
        <w:tab w:val="center" w:pos="4320"/>
        <w:tab w:val="right" w:pos="8640"/>
      </w:tabs>
    </w:pPr>
  </w:style>
  <w:style w:type="character" w:customStyle="1" w:styleId="HeaderChar">
    <w:name w:val="Header Char"/>
    <w:basedOn w:val="DefaultParagraphFont"/>
    <w:link w:val="Header"/>
    <w:uiPriority w:val="99"/>
    <w:rsid w:val="00187B80"/>
    <w:rPr>
      <w:rFonts w:ascii="Cambria" w:hAnsi="Cambria" w:cs="Times New Roman"/>
      <w:sz w:val="24"/>
      <w:szCs w:val="24"/>
    </w:rPr>
  </w:style>
  <w:style w:type="paragraph" w:styleId="Footer">
    <w:name w:val="footer"/>
    <w:basedOn w:val="Normal"/>
    <w:link w:val="FooterChar"/>
    <w:uiPriority w:val="99"/>
    <w:unhideWhenUsed/>
    <w:rsid w:val="00187B80"/>
    <w:pPr>
      <w:tabs>
        <w:tab w:val="center" w:pos="4320"/>
        <w:tab w:val="right" w:pos="8640"/>
      </w:tabs>
    </w:pPr>
  </w:style>
  <w:style w:type="character" w:customStyle="1" w:styleId="FooterChar">
    <w:name w:val="Footer Char"/>
    <w:basedOn w:val="DefaultParagraphFont"/>
    <w:link w:val="Footer"/>
    <w:uiPriority w:val="99"/>
    <w:rsid w:val="00187B80"/>
    <w:rPr>
      <w:rFonts w:ascii="Cambria" w:hAnsi="Cambria" w:cs="Times New Roman"/>
      <w:sz w:val="24"/>
      <w:szCs w:val="24"/>
    </w:rPr>
  </w:style>
  <w:style w:type="paragraph" w:styleId="NormalWeb">
    <w:name w:val="Normal (Web)"/>
    <w:basedOn w:val="Normal"/>
    <w:uiPriority w:val="99"/>
    <w:semiHidden/>
    <w:unhideWhenUsed/>
    <w:rsid w:val="00187B80"/>
    <w:pPr>
      <w:spacing w:before="100" w:beforeAutospacing="1" w:after="100" w:afterAutospacing="1"/>
    </w:pPr>
    <w:rPr>
      <w:rFonts w:ascii="Times" w:hAnsi="Times"/>
      <w:sz w:val="20"/>
      <w:szCs w:val="20"/>
    </w:rPr>
  </w:style>
  <w:style w:type="paragraph" w:customStyle="1" w:styleId="Headline">
    <w:name w:val="Headline"/>
    <w:basedOn w:val="Normal"/>
    <w:qFormat/>
    <w:rsid w:val="00187B80"/>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187B80"/>
    <w:pPr>
      <w:jc w:val="right"/>
    </w:pPr>
    <w:rPr>
      <w:rFonts w:ascii="Arial" w:hAnsi="Arial" w:cs="Arial"/>
      <w:b/>
      <w:color w:val="404040"/>
      <w:sz w:val="36"/>
      <w:szCs w:val="36"/>
    </w:rPr>
  </w:style>
  <w:style w:type="paragraph" w:customStyle="1" w:styleId="PulloutCopyBlue">
    <w:name w:val="Pullout Copy (Blue)"/>
    <w:basedOn w:val="BodyCopy"/>
    <w:qFormat/>
    <w:rsid w:val="00187B80"/>
    <w:rPr>
      <w:rFonts w:cs="Arial"/>
      <w:b/>
      <w:color w:val="0065C1"/>
    </w:rPr>
  </w:style>
  <w:style w:type="paragraph" w:customStyle="1" w:styleId="Footnotes">
    <w:name w:val="Footnotes"/>
    <w:basedOn w:val="NormalWeb"/>
    <w:qFormat/>
    <w:rsid w:val="00187B80"/>
    <w:pPr>
      <w:spacing w:line="324" w:lineRule="auto"/>
    </w:pPr>
    <w:rPr>
      <w:rFonts w:ascii="Arial" w:hAnsi="Arial" w:cs="Arial"/>
      <w:i/>
      <w:iCs/>
      <w:color w:val="0065C1"/>
    </w:rPr>
  </w:style>
  <w:style w:type="paragraph" w:customStyle="1" w:styleId="HeaderSubheadline">
    <w:name w:val="Header Subheadline"/>
    <w:basedOn w:val="Normal"/>
    <w:qFormat/>
    <w:rsid w:val="00187B80"/>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187B80"/>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187B80"/>
    <w:pPr>
      <w:spacing w:after="60"/>
      <w:jc w:val="center"/>
      <w:outlineLvl w:val="1"/>
    </w:pPr>
    <w:rPr>
      <w:rFonts w:eastAsia="Times New Roman"/>
    </w:rPr>
  </w:style>
  <w:style w:type="character" w:customStyle="1" w:styleId="SubtitleChar">
    <w:name w:val="Subtitle Char"/>
    <w:link w:val="Subtitle"/>
    <w:uiPriority w:val="11"/>
    <w:rsid w:val="00187B80"/>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187B8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187B80"/>
    <w:rPr>
      <w:rFonts w:ascii="Arial" w:hAnsi="Arial" w:cs="Arial"/>
      <w:b/>
      <w:color w:val="404040"/>
      <w:sz w:val="32"/>
      <w:szCs w:val="32"/>
    </w:rPr>
  </w:style>
  <w:style w:type="paragraph" w:customStyle="1" w:styleId="BodyCopySubheadline">
    <w:name w:val="Body Copy Subheadline"/>
    <w:basedOn w:val="Headline"/>
    <w:qFormat/>
    <w:rsid w:val="00187B80"/>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87B80"/>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187B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7B80"/>
  </w:style>
  <w:style w:type="paragraph" w:styleId="Header">
    <w:name w:val="header"/>
    <w:basedOn w:val="Normal"/>
    <w:link w:val="HeaderChar"/>
    <w:uiPriority w:val="99"/>
    <w:unhideWhenUsed/>
    <w:rsid w:val="00187B80"/>
    <w:pPr>
      <w:tabs>
        <w:tab w:val="center" w:pos="4320"/>
        <w:tab w:val="right" w:pos="8640"/>
      </w:tabs>
    </w:pPr>
  </w:style>
  <w:style w:type="character" w:customStyle="1" w:styleId="HeaderChar">
    <w:name w:val="Header Char"/>
    <w:basedOn w:val="DefaultParagraphFont"/>
    <w:link w:val="Header"/>
    <w:uiPriority w:val="99"/>
    <w:rsid w:val="00187B80"/>
    <w:rPr>
      <w:rFonts w:ascii="Cambria" w:hAnsi="Cambria" w:cs="Times New Roman"/>
      <w:sz w:val="24"/>
      <w:szCs w:val="24"/>
    </w:rPr>
  </w:style>
  <w:style w:type="paragraph" w:styleId="Footer">
    <w:name w:val="footer"/>
    <w:basedOn w:val="Normal"/>
    <w:link w:val="FooterChar"/>
    <w:uiPriority w:val="99"/>
    <w:unhideWhenUsed/>
    <w:rsid w:val="00187B80"/>
    <w:pPr>
      <w:tabs>
        <w:tab w:val="center" w:pos="4320"/>
        <w:tab w:val="right" w:pos="8640"/>
      </w:tabs>
    </w:pPr>
  </w:style>
  <w:style w:type="character" w:customStyle="1" w:styleId="FooterChar">
    <w:name w:val="Footer Char"/>
    <w:basedOn w:val="DefaultParagraphFont"/>
    <w:link w:val="Footer"/>
    <w:uiPriority w:val="99"/>
    <w:rsid w:val="00187B80"/>
    <w:rPr>
      <w:rFonts w:ascii="Cambria" w:hAnsi="Cambria" w:cs="Times New Roman"/>
      <w:sz w:val="24"/>
      <w:szCs w:val="24"/>
    </w:rPr>
  </w:style>
  <w:style w:type="paragraph" w:styleId="NormalWeb">
    <w:name w:val="Normal (Web)"/>
    <w:basedOn w:val="Normal"/>
    <w:uiPriority w:val="99"/>
    <w:semiHidden/>
    <w:unhideWhenUsed/>
    <w:rsid w:val="00187B80"/>
    <w:pPr>
      <w:spacing w:before="100" w:beforeAutospacing="1" w:after="100" w:afterAutospacing="1"/>
    </w:pPr>
    <w:rPr>
      <w:rFonts w:ascii="Times" w:hAnsi="Times"/>
      <w:sz w:val="20"/>
      <w:szCs w:val="20"/>
    </w:rPr>
  </w:style>
  <w:style w:type="paragraph" w:customStyle="1" w:styleId="Headline">
    <w:name w:val="Headline"/>
    <w:basedOn w:val="Normal"/>
    <w:qFormat/>
    <w:rsid w:val="00187B80"/>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187B80"/>
    <w:pPr>
      <w:jc w:val="right"/>
    </w:pPr>
    <w:rPr>
      <w:rFonts w:ascii="Arial" w:hAnsi="Arial" w:cs="Arial"/>
      <w:b/>
      <w:color w:val="404040"/>
      <w:sz w:val="36"/>
      <w:szCs w:val="36"/>
    </w:rPr>
  </w:style>
  <w:style w:type="paragraph" w:customStyle="1" w:styleId="PulloutCopyBlue">
    <w:name w:val="Pullout Copy (Blue)"/>
    <w:basedOn w:val="BodyCopy"/>
    <w:qFormat/>
    <w:rsid w:val="00187B80"/>
    <w:rPr>
      <w:rFonts w:cs="Arial"/>
      <w:b/>
      <w:color w:val="0065C1"/>
    </w:rPr>
  </w:style>
  <w:style w:type="paragraph" w:customStyle="1" w:styleId="Footnotes">
    <w:name w:val="Footnotes"/>
    <w:basedOn w:val="NormalWeb"/>
    <w:qFormat/>
    <w:rsid w:val="00187B80"/>
    <w:pPr>
      <w:spacing w:line="324" w:lineRule="auto"/>
    </w:pPr>
    <w:rPr>
      <w:rFonts w:ascii="Arial" w:hAnsi="Arial" w:cs="Arial"/>
      <w:i/>
      <w:iCs/>
      <w:color w:val="0065C1"/>
    </w:rPr>
  </w:style>
  <w:style w:type="paragraph" w:customStyle="1" w:styleId="HeaderSubheadline">
    <w:name w:val="Header Subheadline"/>
    <w:basedOn w:val="Normal"/>
    <w:qFormat/>
    <w:rsid w:val="00187B80"/>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187B80"/>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34"/>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187B80"/>
    <w:pPr>
      <w:spacing w:after="60"/>
      <w:jc w:val="center"/>
      <w:outlineLvl w:val="1"/>
    </w:pPr>
    <w:rPr>
      <w:rFonts w:eastAsia="Times New Roman"/>
    </w:rPr>
  </w:style>
  <w:style w:type="character" w:customStyle="1" w:styleId="SubtitleChar">
    <w:name w:val="Subtitle Char"/>
    <w:link w:val="Subtitle"/>
    <w:uiPriority w:val="11"/>
    <w:rsid w:val="00187B80"/>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187B8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187B80"/>
    <w:rPr>
      <w:rFonts w:ascii="Arial" w:hAnsi="Arial" w:cs="Arial"/>
      <w:b/>
      <w:color w:val="404040"/>
      <w:sz w:val="32"/>
      <w:szCs w:val="32"/>
    </w:rPr>
  </w:style>
  <w:style w:type="paragraph" w:customStyle="1" w:styleId="BodyCopySubheadline">
    <w:name w:val="Body Copy Subheadline"/>
    <w:basedOn w:val="Headline"/>
    <w:qFormat/>
    <w:rsid w:val="00187B80"/>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4A620-6112-49CF-A3C7-A1FC1F5A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66</TotalTime>
  <Pages>3</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14</cp:revision>
  <cp:lastPrinted>2017-08-23T18:06:00Z</cp:lastPrinted>
  <dcterms:created xsi:type="dcterms:W3CDTF">2017-08-10T18:58:00Z</dcterms:created>
  <dcterms:modified xsi:type="dcterms:W3CDTF">2017-10-18T21:22:00Z</dcterms:modified>
</cp:coreProperties>
</file>